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602F" w14:textId="2F1723BB" w:rsidR="0072130B" w:rsidRPr="0072130B" w:rsidRDefault="0072130B" w:rsidP="00714A1B">
      <w:pPr>
        <w:rPr>
          <w:b/>
          <w:bCs/>
        </w:rPr>
      </w:pPr>
      <w:r w:rsidRPr="0072130B">
        <w:rPr>
          <w:b/>
          <w:bCs/>
        </w:rPr>
        <w:t>Challenging narratives</w:t>
      </w:r>
      <w:r>
        <w:rPr>
          <w:b/>
          <w:bCs/>
        </w:rPr>
        <w:t xml:space="preserve"> is important</w:t>
      </w:r>
    </w:p>
    <w:p w14:paraId="591652DE" w14:textId="77777777" w:rsidR="00BC4EBC" w:rsidRDefault="00F40607" w:rsidP="00BC4EBC">
      <w:r>
        <w:t>“</w:t>
      </w:r>
      <w:r w:rsidRPr="00F40607">
        <w:t>A deficit model assumes that students are to blame for the awarding gap – that they are lacking skills, knowledge or experience. It ignores societal or institutional structures and the discrimination that exists within them, thereby placing ownership and responsibility for inequalities in attainment on the individual and not the institution.</w:t>
      </w:r>
      <w:r>
        <w:t>” (</w:t>
      </w:r>
      <w:proofErr w:type="spellStart"/>
      <w:r>
        <w:t>OfS</w:t>
      </w:r>
      <w:proofErr w:type="spellEnd"/>
      <w:r>
        <w:t>, 2021)</w:t>
      </w:r>
      <w:r w:rsidR="00BC4EBC">
        <w:t>.</w:t>
      </w:r>
      <w:r w:rsidR="00BC4EBC" w:rsidRPr="00BC4EBC">
        <w:t xml:space="preserve"> </w:t>
      </w:r>
    </w:p>
    <w:p w14:paraId="1D41AEF4" w14:textId="1EDA7FA6" w:rsidR="00BC4EBC" w:rsidRPr="00714A1B" w:rsidRDefault="00BC4EBC" w:rsidP="00BC4EBC">
      <w:r>
        <w:t>Below, I put some resources to help you signpost colleagues with regards to PDR. Of course, the list is not-exhaustive. Following PDRs, I would appreciate feedback so that ongoing work on closing awarding gap and promoting success for all students can be planned.</w:t>
      </w:r>
    </w:p>
    <w:p w14:paraId="54457158" w14:textId="7BE19397" w:rsidR="00BA7893" w:rsidRDefault="00BA7893" w:rsidP="00714A1B"/>
    <w:tbl>
      <w:tblPr>
        <w:tblStyle w:val="TableGrid"/>
        <w:tblpPr w:leftFromText="180" w:rightFromText="180" w:vertAnchor="page" w:horzAnchor="page" w:tblpX="1556" w:tblpY="5257"/>
        <w:tblW w:w="9164" w:type="dxa"/>
        <w:tblLook w:val="04A0" w:firstRow="1" w:lastRow="0" w:firstColumn="1" w:lastColumn="0" w:noHBand="0" w:noVBand="1"/>
      </w:tblPr>
      <w:tblGrid>
        <w:gridCol w:w="3031"/>
        <w:gridCol w:w="3025"/>
        <w:gridCol w:w="3108"/>
      </w:tblGrid>
      <w:tr w:rsidR="00BC4EBC" w14:paraId="778616D6" w14:textId="77777777" w:rsidTr="00BC4EBC">
        <w:trPr>
          <w:trHeight w:val="416"/>
        </w:trPr>
        <w:tc>
          <w:tcPr>
            <w:tcW w:w="3031" w:type="dxa"/>
          </w:tcPr>
          <w:p w14:paraId="113F7BA8" w14:textId="77777777" w:rsidR="00BC4EBC" w:rsidRPr="00F40607" w:rsidRDefault="00BC4EBC" w:rsidP="00BC4EBC">
            <w:pPr>
              <w:rPr>
                <w:b/>
                <w:bCs/>
              </w:rPr>
            </w:pPr>
            <w:r w:rsidRPr="00F40607">
              <w:rPr>
                <w:b/>
                <w:bCs/>
              </w:rPr>
              <w:t>Support need</w:t>
            </w:r>
          </w:p>
        </w:tc>
        <w:tc>
          <w:tcPr>
            <w:tcW w:w="3025" w:type="dxa"/>
          </w:tcPr>
          <w:p w14:paraId="4B779461" w14:textId="77777777" w:rsidR="00BC4EBC" w:rsidRPr="00F40607" w:rsidRDefault="00BC4EBC" w:rsidP="00BC4EBC">
            <w:pPr>
              <w:rPr>
                <w:b/>
                <w:bCs/>
              </w:rPr>
            </w:pPr>
            <w:r w:rsidRPr="00F40607">
              <w:rPr>
                <w:b/>
                <w:bCs/>
              </w:rPr>
              <w:t>Source/link</w:t>
            </w:r>
          </w:p>
        </w:tc>
        <w:tc>
          <w:tcPr>
            <w:tcW w:w="3108" w:type="dxa"/>
          </w:tcPr>
          <w:p w14:paraId="4584177E" w14:textId="77777777" w:rsidR="00BC4EBC" w:rsidRPr="00F40607" w:rsidRDefault="00BC4EBC" w:rsidP="00BC4EBC">
            <w:pPr>
              <w:rPr>
                <w:b/>
                <w:bCs/>
              </w:rPr>
            </w:pPr>
            <w:r w:rsidRPr="00F40607">
              <w:rPr>
                <w:b/>
                <w:bCs/>
              </w:rPr>
              <w:t>Contact</w:t>
            </w:r>
          </w:p>
        </w:tc>
      </w:tr>
      <w:tr w:rsidR="00BC4EBC" w14:paraId="2107359D" w14:textId="77777777" w:rsidTr="00BC4EBC">
        <w:trPr>
          <w:trHeight w:val="766"/>
        </w:trPr>
        <w:tc>
          <w:tcPr>
            <w:tcW w:w="3031" w:type="dxa"/>
          </w:tcPr>
          <w:p w14:paraId="6E26F651" w14:textId="77777777" w:rsidR="00BC4EBC" w:rsidRDefault="00BC4EBC" w:rsidP="00BC4EBC">
            <w:r>
              <w:t>I don’t know what awarding gaps are</w:t>
            </w:r>
          </w:p>
        </w:tc>
        <w:tc>
          <w:tcPr>
            <w:tcW w:w="3025" w:type="dxa"/>
          </w:tcPr>
          <w:p w14:paraId="67C474E3" w14:textId="77777777" w:rsidR="00BC4EBC" w:rsidRDefault="00BC4EBC" w:rsidP="00BC4EBC">
            <w:pPr>
              <w:pStyle w:val="ListParagraph"/>
              <w:numPr>
                <w:ilvl w:val="0"/>
                <w:numId w:val="1"/>
              </w:numPr>
              <w:ind w:left="97" w:hanging="142"/>
            </w:pPr>
            <w:r>
              <w:t xml:space="preserve">Advance HE </w:t>
            </w:r>
            <w:hyperlink r:id="rId5" w:history="1">
              <w:r w:rsidRPr="00F40607">
                <w:rPr>
                  <w:rStyle w:val="Hyperlink"/>
                </w:rPr>
                <w:t>Ethnicity awarding gaps in higher education in 2019/20</w:t>
              </w:r>
            </w:hyperlink>
            <w:r>
              <w:t xml:space="preserve"> report</w:t>
            </w:r>
          </w:p>
          <w:p w14:paraId="76C52538" w14:textId="77777777" w:rsidR="00BC4EBC" w:rsidRDefault="00BC4EBC" w:rsidP="00BC4EBC">
            <w:pPr>
              <w:pStyle w:val="ListParagraph"/>
              <w:numPr>
                <w:ilvl w:val="0"/>
                <w:numId w:val="1"/>
              </w:numPr>
              <w:ind w:left="97" w:hanging="142"/>
            </w:pPr>
            <w:r>
              <w:t xml:space="preserve">Office for Students </w:t>
            </w:r>
            <w:hyperlink r:id="rId6" w:history="1">
              <w:r w:rsidRPr="00F40607">
                <w:rPr>
                  <w:rStyle w:val="Hyperlink"/>
                </w:rPr>
                <w:t>Degree attainment: Black, Asian and minority ethnic students</w:t>
              </w:r>
            </w:hyperlink>
          </w:p>
          <w:p w14:paraId="0431BFBF" w14:textId="77777777" w:rsidR="00BC4EBC" w:rsidRDefault="008B6911" w:rsidP="00BC4EBC">
            <w:pPr>
              <w:pStyle w:val="ListParagraph"/>
              <w:numPr>
                <w:ilvl w:val="0"/>
                <w:numId w:val="1"/>
              </w:numPr>
              <w:ind w:left="97" w:hanging="142"/>
            </w:pPr>
            <w:hyperlink r:id="rId7" w:history="1">
              <w:r w:rsidR="00BC4EBC" w:rsidRPr="0072130B">
                <w:rPr>
                  <w:rStyle w:val="Hyperlink"/>
                </w:rPr>
                <w:t>Inclusive Learning Communities website</w:t>
              </w:r>
            </w:hyperlink>
            <w:r w:rsidR="00BC4EBC">
              <w:t xml:space="preserve"> contains a section on BAME awarding gaps</w:t>
            </w:r>
          </w:p>
        </w:tc>
        <w:tc>
          <w:tcPr>
            <w:tcW w:w="3108" w:type="dxa"/>
          </w:tcPr>
          <w:p w14:paraId="0395B32B" w14:textId="77777777" w:rsidR="00BC4EBC" w:rsidRDefault="008B6911" w:rsidP="00BC4EBC">
            <w:hyperlink r:id="rId8" w:history="1">
              <w:r w:rsidR="00BC4EBC" w:rsidRPr="00F40607">
                <w:rPr>
                  <w:rStyle w:val="Hyperlink"/>
                </w:rPr>
                <w:t>Bartek Buczkowski</w:t>
              </w:r>
            </w:hyperlink>
          </w:p>
        </w:tc>
      </w:tr>
      <w:tr w:rsidR="00BC4EBC" w14:paraId="2B5835F9" w14:textId="77777777" w:rsidTr="00BC4EBC">
        <w:trPr>
          <w:trHeight w:val="811"/>
        </w:trPr>
        <w:tc>
          <w:tcPr>
            <w:tcW w:w="3031" w:type="dxa"/>
          </w:tcPr>
          <w:p w14:paraId="2CA09C55" w14:textId="77777777" w:rsidR="00BC4EBC" w:rsidRDefault="00BC4EBC" w:rsidP="00BC4EBC">
            <w:r>
              <w:t>I don’t know how awarding gaps look on my Programme/Unit</w:t>
            </w:r>
          </w:p>
        </w:tc>
        <w:tc>
          <w:tcPr>
            <w:tcW w:w="3025" w:type="dxa"/>
          </w:tcPr>
          <w:p w14:paraId="289A299E" w14:textId="77777777" w:rsidR="00BC4EBC" w:rsidRDefault="00BC4EBC" w:rsidP="00BC4EBC"/>
        </w:tc>
        <w:tc>
          <w:tcPr>
            <w:tcW w:w="3108" w:type="dxa"/>
          </w:tcPr>
          <w:p w14:paraId="3D3B69D7" w14:textId="77777777" w:rsidR="00BC4EBC" w:rsidRDefault="00BC4EBC" w:rsidP="00BC4EBC">
            <w:r>
              <w:t xml:space="preserve">Programme Leads should now have access to data Programme by Programme and unit by unit. If necessary, refer to </w:t>
            </w:r>
            <w:hyperlink r:id="rId9" w:history="1">
              <w:r w:rsidRPr="00F40607">
                <w:rPr>
                  <w:rStyle w:val="Hyperlink"/>
                </w:rPr>
                <w:t>Bartek Buczkowski</w:t>
              </w:r>
            </w:hyperlink>
          </w:p>
        </w:tc>
      </w:tr>
      <w:tr w:rsidR="00BC4EBC" w14:paraId="34E33934" w14:textId="77777777" w:rsidTr="00BC4EBC">
        <w:trPr>
          <w:trHeight w:val="766"/>
        </w:trPr>
        <w:tc>
          <w:tcPr>
            <w:tcW w:w="3031" w:type="dxa"/>
          </w:tcPr>
          <w:p w14:paraId="721B5544" w14:textId="77777777" w:rsidR="00BC4EBC" w:rsidRDefault="00BC4EBC" w:rsidP="00BC4EBC">
            <w:r>
              <w:t>I don’t know how to talk about race and other diversity and equality issues.</w:t>
            </w:r>
          </w:p>
        </w:tc>
        <w:tc>
          <w:tcPr>
            <w:tcW w:w="3025" w:type="dxa"/>
          </w:tcPr>
          <w:p w14:paraId="1DA2FA4E" w14:textId="77777777" w:rsidR="00BC4EBC" w:rsidRDefault="00BC4EBC" w:rsidP="00BC4EBC">
            <w:pPr>
              <w:pStyle w:val="ListParagraph"/>
              <w:numPr>
                <w:ilvl w:val="0"/>
                <w:numId w:val="1"/>
              </w:numPr>
              <w:spacing w:after="160" w:line="259" w:lineRule="auto"/>
              <w:ind w:left="97" w:hanging="142"/>
            </w:pPr>
            <w:r>
              <w:t xml:space="preserve">The University Library has many great resources listed in </w:t>
            </w:r>
            <w:hyperlink r:id="rId10" w:history="1">
              <w:r w:rsidRPr="00290FDF">
                <w:rPr>
                  <w:rStyle w:val="Hyperlink"/>
                </w:rPr>
                <w:t>Celebrating diversity</w:t>
              </w:r>
            </w:hyperlink>
            <w:r>
              <w:t xml:space="preserve"> section</w:t>
            </w:r>
          </w:p>
          <w:p w14:paraId="10694BB2" w14:textId="77777777" w:rsidR="00BC4EBC" w:rsidRDefault="00BC4EBC" w:rsidP="00BC4EBC">
            <w:pPr>
              <w:pStyle w:val="ListParagraph"/>
              <w:numPr>
                <w:ilvl w:val="0"/>
                <w:numId w:val="1"/>
              </w:numPr>
              <w:spacing w:after="160" w:line="259" w:lineRule="auto"/>
              <w:ind w:left="97" w:hanging="142"/>
            </w:pPr>
            <w:r>
              <w:t xml:space="preserve">BAME Ambassadors’ Shades of Tea podcast on </w:t>
            </w:r>
            <w:hyperlink r:id="rId11" w:history="1">
              <w:r w:rsidRPr="00290FDF">
                <w:rPr>
                  <w:rStyle w:val="Hyperlink"/>
                </w:rPr>
                <w:t>Listen Notes</w:t>
              </w:r>
            </w:hyperlink>
            <w:r>
              <w:t xml:space="preserve"> or </w:t>
            </w:r>
            <w:hyperlink r:id="rId12" w:history="1">
              <w:r w:rsidRPr="00290FDF">
                <w:rPr>
                  <w:rStyle w:val="Hyperlink"/>
                </w:rPr>
                <w:t>Spotify</w:t>
              </w:r>
            </w:hyperlink>
          </w:p>
          <w:p w14:paraId="32899879" w14:textId="77777777" w:rsidR="00BC4EBC" w:rsidRDefault="00BC4EBC" w:rsidP="00BC4EBC">
            <w:pPr>
              <w:pStyle w:val="ListParagraph"/>
              <w:numPr>
                <w:ilvl w:val="0"/>
                <w:numId w:val="1"/>
              </w:numPr>
              <w:spacing w:after="160" w:line="259" w:lineRule="auto"/>
              <w:ind w:left="97" w:hanging="142"/>
            </w:pPr>
            <w:r>
              <w:t xml:space="preserve">Student Union </w:t>
            </w:r>
            <w:hyperlink r:id="rId13" w:history="1">
              <w:r w:rsidRPr="00BC4EBC">
                <w:rPr>
                  <w:rStyle w:val="Hyperlink"/>
                </w:rPr>
                <w:t>Big Change Project</w:t>
              </w:r>
            </w:hyperlink>
          </w:p>
        </w:tc>
        <w:tc>
          <w:tcPr>
            <w:tcW w:w="3108" w:type="dxa"/>
          </w:tcPr>
          <w:p w14:paraId="63AB2542" w14:textId="77777777" w:rsidR="00BC4EBC" w:rsidRPr="00BC4EBC" w:rsidRDefault="00BC4EBC" w:rsidP="00BC4EBC">
            <w:r>
              <w:t xml:space="preserve">Librarians: </w:t>
            </w:r>
            <w:hyperlink r:id="rId14" w:history="1">
              <w:r w:rsidRPr="00BC4EBC">
                <w:rPr>
                  <w:rStyle w:val="Hyperlink"/>
                </w:rPr>
                <w:t>Andrea Daly</w:t>
              </w:r>
            </w:hyperlink>
            <w:r>
              <w:t xml:space="preserve"> (subject librarian)</w:t>
            </w:r>
            <w:r w:rsidRPr="00BC4EBC">
              <w:t xml:space="preserve">, </w:t>
            </w:r>
            <w:hyperlink r:id="rId15" w:history="1">
              <w:r w:rsidRPr="00BC4EBC">
                <w:rPr>
                  <w:rStyle w:val="Hyperlink"/>
                </w:rPr>
                <w:t>Mark Burgess</w:t>
              </w:r>
            </w:hyperlink>
          </w:p>
          <w:p w14:paraId="37C143DF" w14:textId="77777777" w:rsidR="00BC4EBC" w:rsidRDefault="00BC4EBC" w:rsidP="00BC4EBC"/>
          <w:p w14:paraId="0C559543" w14:textId="77777777" w:rsidR="00BC4EBC" w:rsidRDefault="00BC4EBC" w:rsidP="00BC4EBC"/>
          <w:p w14:paraId="4A4BD73F" w14:textId="77777777" w:rsidR="00BC4EBC" w:rsidRDefault="008B6911" w:rsidP="00BC4EBC">
            <w:hyperlink r:id="rId16" w:history="1">
              <w:r w:rsidR="00BC4EBC" w:rsidRPr="00F40607">
                <w:rPr>
                  <w:rStyle w:val="Hyperlink"/>
                </w:rPr>
                <w:t>Bartek Buczkowski</w:t>
              </w:r>
            </w:hyperlink>
            <w:r w:rsidR="00BC4EBC">
              <w:t>,</w:t>
            </w:r>
          </w:p>
          <w:p w14:paraId="5A8D76A9" w14:textId="77777777" w:rsidR="00BC4EBC" w:rsidRDefault="00BC4EBC" w:rsidP="00BC4EBC"/>
          <w:p w14:paraId="000E0505" w14:textId="77777777" w:rsidR="00BC4EBC" w:rsidRDefault="00BC4EBC" w:rsidP="00BC4EBC">
            <w:r>
              <w:t xml:space="preserve">Faculty of Health and Education Inclusive Learning Community leads: </w:t>
            </w:r>
            <w:hyperlink r:id="rId17" w:history="1">
              <w:r w:rsidRPr="00290FDF">
                <w:rPr>
                  <w:rStyle w:val="Hyperlink"/>
                </w:rPr>
                <w:t>Gayatri Nambiar-Greenwood</w:t>
              </w:r>
            </w:hyperlink>
            <w:r>
              <w:t xml:space="preserve">, </w:t>
            </w:r>
            <w:hyperlink r:id="rId18" w:history="1">
              <w:r w:rsidRPr="00290FDF">
                <w:rPr>
                  <w:rStyle w:val="Hyperlink"/>
                </w:rPr>
                <w:t>Jayne Mugglestone</w:t>
              </w:r>
            </w:hyperlink>
            <w:r>
              <w:t xml:space="preserve"> </w:t>
            </w:r>
          </w:p>
        </w:tc>
      </w:tr>
      <w:tr w:rsidR="00BC4EBC" w14:paraId="7A71EED5" w14:textId="77777777" w:rsidTr="00BC4EBC">
        <w:trPr>
          <w:trHeight w:val="811"/>
        </w:trPr>
        <w:tc>
          <w:tcPr>
            <w:tcW w:w="3031" w:type="dxa"/>
          </w:tcPr>
          <w:p w14:paraId="3E0C3E93" w14:textId="77777777" w:rsidR="00BC4EBC" w:rsidRDefault="00BC4EBC" w:rsidP="00BC4EBC">
            <w:r>
              <w:t xml:space="preserve">I don’t know where to start addressing awarding gap or decolonising curriculum. </w:t>
            </w:r>
          </w:p>
          <w:p w14:paraId="29B26E5E" w14:textId="77777777" w:rsidR="00BC4EBC" w:rsidRDefault="00BC4EBC" w:rsidP="00BC4EBC"/>
          <w:p w14:paraId="7A20967B" w14:textId="77777777" w:rsidR="00BC4EBC" w:rsidRDefault="00BC4EBC" w:rsidP="00BC4EBC"/>
          <w:p w14:paraId="0C165610" w14:textId="1726686F" w:rsidR="00BC4EBC" w:rsidRDefault="00BC4EBC" w:rsidP="00BC4EBC">
            <w:r>
              <w:t>I don’t understand what “colonialism” means in terms of curriculum</w:t>
            </w:r>
          </w:p>
        </w:tc>
        <w:tc>
          <w:tcPr>
            <w:tcW w:w="3025" w:type="dxa"/>
          </w:tcPr>
          <w:p w14:paraId="4FF06094" w14:textId="77777777" w:rsidR="00BC4EBC" w:rsidRDefault="00BC4EBC" w:rsidP="00BC4EBC">
            <w:pPr>
              <w:pStyle w:val="ListParagraph"/>
              <w:numPr>
                <w:ilvl w:val="0"/>
                <w:numId w:val="1"/>
              </w:numPr>
              <w:spacing w:after="160" w:line="259" w:lineRule="auto"/>
              <w:ind w:left="97" w:hanging="142"/>
            </w:pPr>
            <w:r>
              <w:t xml:space="preserve">Plenty of points for reflection in </w:t>
            </w:r>
            <w:hyperlink r:id="rId19" w:history="1">
              <w:r>
                <w:rPr>
                  <w:rStyle w:val="Hyperlink"/>
                </w:rPr>
                <w:t>Department of Health Professions decolonising toolkit</w:t>
              </w:r>
            </w:hyperlink>
          </w:p>
          <w:p w14:paraId="53B5F384" w14:textId="77777777" w:rsidR="00BC4EBC" w:rsidRDefault="00BC4EBC" w:rsidP="00BC4EBC">
            <w:pPr>
              <w:pStyle w:val="ListParagraph"/>
              <w:numPr>
                <w:ilvl w:val="0"/>
                <w:numId w:val="1"/>
              </w:numPr>
              <w:spacing w:after="160" w:line="259" w:lineRule="auto"/>
              <w:ind w:left="97" w:hanging="142"/>
            </w:pPr>
            <w:r>
              <w:t xml:space="preserve">UTA </w:t>
            </w:r>
            <w:hyperlink r:id="rId20" w:history="1">
              <w:r w:rsidRPr="0072130B">
                <w:rPr>
                  <w:rStyle w:val="Hyperlink"/>
                </w:rPr>
                <w:t>Addressing awarding gaps</w:t>
              </w:r>
            </w:hyperlink>
          </w:p>
          <w:p w14:paraId="064C026C" w14:textId="77777777" w:rsidR="00290FDF" w:rsidRPr="00290FDF" w:rsidRDefault="008B6911" w:rsidP="00BC4EBC">
            <w:pPr>
              <w:pStyle w:val="ListParagraph"/>
              <w:numPr>
                <w:ilvl w:val="0"/>
                <w:numId w:val="1"/>
              </w:numPr>
              <w:spacing w:after="160" w:line="259" w:lineRule="auto"/>
              <w:ind w:left="97" w:hanging="142"/>
            </w:pPr>
            <w:hyperlink r:id="rId21" w:history="1">
              <w:r w:rsidR="00290FDF" w:rsidRPr="00290FDF">
                <w:rPr>
                  <w:rStyle w:val="Hyperlink"/>
                </w:rPr>
                <w:t>Inclusive Curriculum Toolkit</w:t>
              </w:r>
            </w:hyperlink>
          </w:p>
          <w:p w14:paraId="2D059931" w14:textId="77777777" w:rsidR="00BC4EBC" w:rsidRDefault="008B6911" w:rsidP="00BC4EBC">
            <w:pPr>
              <w:pStyle w:val="ListParagraph"/>
              <w:numPr>
                <w:ilvl w:val="0"/>
                <w:numId w:val="1"/>
              </w:numPr>
              <w:spacing w:after="160" w:line="259" w:lineRule="auto"/>
              <w:ind w:left="97" w:hanging="142"/>
            </w:pPr>
            <w:hyperlink r:id="rId22" w:history="1">
              <w:r w:rsidR="00BC4EBC" w:rsidRPr="00290FDF">
                <w:rPr>
                  <w:rStyle w:val="Hyperlink"/>
                </w:rPr>
                <w:t>UTA – decolonising the curriculum</w:t>
              </w:r>
            </w:hyperlink>
          </w:p>
          <w:p w14:paraId="4AD2A9DE" w14:textId="555CC4C4" w:rsidR="00BC4EBC" w:rsidRDefault="008B6911" w:rsidP="00BC4EBC">
            <w:pPr>
              <w:pStyle w:val="ListParagraph"/>
              <w:numPr>
                <w:ilvl w:val="0"/>
                <w:numId w:val="1"/>
              </w:numPr>
              <w:spacing w:after="160" w:line="259" w:lineRule="auto"/>
              <w:ind w:left="97" w:hanging="142"/>
            </w:pPr>
            <w:hyperlink r:id="rId23" w:history="1">
              <w:r w:rsidR="00BC4EBC" w:rsidRPr="008B6911">
                <w:rPr>
                  <w:rStyle w:val="Hyperlink"/>
                </w:rPr>
                <w:t>Reading list diversity audit</w:t>
              </w:r>
            </w:hyperlink>
          </w:p>
          <w:p w14:paraId="0ECB84EA" w14:textId="77777777" w:rsidR="00BC4EBC" w:rsidRPr="00290FDF" w:rsidRDefault="00BC4EBC" w:rsidP="00BC4EBC">
            <w:pPr>
              <w:pStyle w:val="ListParagraph"/>
              <w:numPr>
                <w:ilvl w:val="0"/>
                <w:numId w:val="1"/>
              </w:numPr>
              <w:spacing w:after="160" w:line="259" w:lineRule="auto"/>
              <w:ind w:left="97" w:hanging="142"/>
            </w:pPr>
            <w:r>
              <w:t>Discuss with your unit/assessment moderator – peer observation of teaching, learning and assessment</w:t>
            </w:r>
          </w:p>
        </w:tc>
        <w:tc>
          <w:tcPr>
            <w:tcW w:w="3108" w:type="dxa"/>
          </w:tcPr>
          <w:p w14:paraId="30B6C1A0" w14:textId="77777777" w:rsidR="00BC4EBC" w:rsidRDefault="00BC4EBC" w:rsidP="00BC4EBC">
            <w:r>
              <w:lastRenderedPageBreak/>
              <w:t xml:space="preserve">UTA contacts: </w:t>
            </w:r>
            <w:hyperlink r:id="rId24" w:history="1">
              <w:r w:rsidRPr="0072130B">
                <w:rPr>
                  <w:rStyle w:val="Hyperlink"/>
                </w:rPr>
                <w:t>Orlagh McCabe</w:t>
              </w:r>
            </w:hyperlink>
            <w:r>
              <w:t xml:space="preserve"> (Faculty link), </w:t>
            </w:r>
            <w:hyperlink r:id="rId25" w:history="1">
              <w:r w:rsidRPr="0072130B">
                <w:rPr>
                  <w:rStyle w:val="Hyperlink"/>
                </w:rPr>
                <w:t>Chris Little</w:t>
              </w:r>
            </w:hyperlink>
            <w:r>
              <w:t>,</w:t>
            </w:r>
          </w:p>
          <w:p w14:paraId="6E2EEEF0" w14:textId="77777777" w:rsidR="00BC4EBC" w:rsidRDefault="00BC4EBC" w:rsidP="00BC4EBC"/>
          <w:p w14:paraId="199168E6" w14:textId="1F6B428D" w:rsidR="00BC4EBC" w:rsidRDefault="008B6911" w:rsidP="00BC4EBC">
            <w:hyperlink r:id="rId26" w:history="1">
              <w:r w:rsidR="00BC4EBC" w:rsidRPr="00F40607">
                <w:rPr>
                  <w:rStyle w:val="Hyperlink"/>
                </w:rPr>
                <w:t>Bartek Buczkowski</w:t>
              </w:r>
            </w:hyperlink>
          </w:p>
        </w:tc>
      </w:tr>
      <w:tr w:rsidR="00BC4EBC" w14:paraId="7E84874A" w14:textId="77777777" w:rsidTr="00BC4EBC">
        <w:trPr>
          <w:trHeight w:val="766"/>
        </w:trPr>
        <w:tc>
          <w:tcPr>
            <w:tcW w:w="3031" w:type="dxa"/>
          </w:tcPr>
          <w:p w14:paraId="7FE452D1" w14:textId="77777777" w:rsidR="00BC4EBC" w:rsidRDefault="00BC4EBC" w:rsidP="00BC4EBC">
            <w:r>
              <w:t>I have some subject-specific resources I would like to share</w:t>
            </w:r>
          </w:p>
        </w:tc>
        <w:tc>
          <w:tcPr>
            <w:tcW w:w="3025" w:type="dxa"/>
          </w:tcPr>
          <w:p w14:paraId="754A1C6D" w14:textId="77777777" w:rsidR="00BC4EBC" w:rsidRDefault="00BC4EBC" w:rsidP="00BC4EBC">
            <w:r>
              <w:t xml:space="preserve">Contribute to </w:t>
            </w:r>
            <w:hyperlink r:id="rId27" w:history="1">
              <w:r>
                <w:rPr>
                  <w:rStyle w:val="Hyperlink"/>
                </w:rPr>
                <w:t>Department of Health Professions decolonising toolkit</w:t>
              </w:r>
            </w:hyperlink>
          </w:p>
        </w:tc>
        <w:tc>
          <w:tcPr>
            <w:tcW w:w="3108" w:type="dxa"/>
          </w:tcPr>
          <w:p w14:paraId="37316F38" w14:textId="77777777" w:rsidR="00BC4EBC" w:rsidRDefault="008B6911" w:rsidP="00BC4EBC">
            <w:hyperlink r:id="rId28" w:history="1">
              <w:r w:rsidR="00BC4EBC" w:rsidRPr="00F40607">
                <w:rPr>
                  <w:rStyle w:val="Hyperlink"/>
                </w:rPr>
                <w:t>Bartek Buczkowski</w:t>
              </w:r>
            </w:hyperlink>
          </w:p>
        </w:tc>
      </w:tr>
    </w:tbl>
    <w:p w14:paraId="23E23FE1" w14:textId="77777777" w:rsidR="00BC4EBC" w:rsidRDefault="00BC4EBC" w:rsidP="00714A1B"/>
    <w:sectPr w:rsidR="00BC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E0D90"/>
    <w:multiLevelType w:val="hybridMultilevel"/>
    <w:tmpl w:val="FF24B896"/>
    <w:lvl w:ilvl="0" w:tplc="C97E909A">
      <w:start w:val="1"/>
      <w:numFmt w:val="bullet"/>
      <w:lvlText w:val="•"/>
      <w:lvlJc w:val="left"/>
      <w:pPr>
        <w:tabs>
          <w:tab w:val="num" w:pos="720"/>
        </w:tabs>
        <w:ind w:left="720" w:hanging="360"/>
      </w:pPr>
      <w:rPr>
        <w:rFonts w:ascii="Arial" w:hAnsi="Arial" w:hint="default"/>
      </w:rPr>
    </w:lvl>
    <w:lvl w:ilvl="1" w:tplc="E0582508" w:tentative="1">
      <w:start w:val="1"/>
      <w:numFmt w:val="bullet"/>
      <w:lvlText w:val="•"/>
      <w:lvlJc w:val="left"/>
      <w:pPr>
        <w:tabs>
          <w:tab w:val="num" w:pos="1440"/>
        </w:tabs>
        <w:ind w:left="1440" w:hanging="360"/>
      </w:pPr>
      <w:rPr>
        <w:rFonts w:ascii="Arial" w:hAnsi="Arial" w:hint="default"/>
      </w:rPr>
    </w:lvl>
    <w:lvl w:ilvl="2" w:tplc="FE1E6A78" w:tentative="1">
      <w:start w:val="1"/>
      <w:numFmt w:val="bullet"/>
      <w:lvlText w:val="•"/>
      <w:lvlJc w:val="left"/>
      <w:pPr>
        <w:tabs>
          <w:tab w:val="num" w:pos="2160"/>
        </w:tabs>
        <w:ind w:left="2160" w:hanging="360"/>
      </w:pPr>
      <w:rPr>
        <w:rFonts w:ascii="Arial" w:hAnsi="Arial" w:hint="default"/>
      </w:rPr>
    </w:lvl>
    <w:lvl w:ilvl="3" w:tplc="DE42489C" w:tentative="1">
      <w:start w:val="1"/>
      <w:numFmt w:val="bullet"/>
      <w:lvlText w:val="•"/>
      <w:lvlJc w:val="left"/>
      <w:pPr>
        <w:tabs>
          <w:tab w:val="num" w:pos="2880"/>
        </w:tabs>
        <w:ind w:left="2880" w:hanging="360"/>
      </w:pPr>
      <w:rPr>
        <w:rFonts w:ascii="Arial" w:hAnsi="Arial" w:hint="default"/>
      </w:rPr>
    </w:lvl>
    <w:lvl w:ilvl="4" w:tplc="FD9872CA" w:tentative="1">
      <w:start w:val="1"/>
      <w:numFmt w:val="bullet"/>
      <w:lvlText w:val="•"/>
      <w:lvlJc w:val="left"/>
      <w:pPr>
        <w:tabs>
          <w:tab w:val="num" w:pos="3600"/>
        </w:tabs>
        <w:ind w:left="3600" w:hanging="360"/>
      </w:pPr>
      <w:rPr>
        <w:rFonts w:ascii="Arial" w:hAnsi="Arial" w:hint="default"/>
      </w:rPr>
    </w:lvl>
    <w:lvl w:ilvl="5" w:tplc="1D129F12" w:tentative="1">
      <w:start w:val="1"/>
      <w:numFmt w:val="bullet"/>
      <w:lvlText w:val="•"/>
      <w:lvlJc w:val="left"/>
      <w:pPr>
        <w:tabs>
          <w:tab w:val="num" w:pos="4320"/>
        </w:tabs>
        <w:ind w:left="4320" w:hanging="360"/>
      </w:pPr>
      <w:rPr>
        <w:rFonts w:ascii="Arial" w:hAnsi="Arial" w:hint="default"/>
      </w:rPr>
    </w:lvl>
    <w:lvl w:ilvl="6" w:tplc="DC4A8436" w:tentative="1">
      <w:start w:val="1"/>
      <w:numFmt w:val="bullet"/>
      <w:lvlText w:val="•"/>
      <w:lvlJc w:val="left"/>
      <w:pPr>
        <w:tabs>
          <w:tab w:val="num" w:pos="5040"/>
        </w:tabs>
        <w:ind w:left="5040" w:hanging="360"/>
      </w:pPr>
      <w:rPr>
        <w:rFonts w:ascii="Arial" w:hAnsi="Arial" w:hint="default"/>
      </w:rPr>
    </w:lvl>
    <w:lvl w:ilvl="7" w:tplc="ACF019D4" w:tentative="1">
      <w:start w:val="1"/>
      <w:numFmt w:val="bullet"/>
      <w:lvlText w:val="•"/>
      <w:lvlJc w:val="left"/>
      <w:pPr>
        <w:tabs>
          <w:tab w:val="num" w:pos="5760"/>
        </w:tabs>
        <w:ind w:left="5760" w:hanging="360"/>
      </w:pPr>
      <w:rPr>
        <w:rFonts w:ascii="Arial" w:hAnsi="Arial" w:hint="default"/>
      </w:rPr>
    </w:lvl>
    <w:lvl w:ilvl="8" w:tplc="38207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46644F"/>
    <w:multiLevelType w:val="hybridMultilevel"/>
    <w:tmpl w:val="FAE82F5C"/>
    <w:lvl w:ilvl="0" w:tplc="5ADE8AC8">
      <w:start w:val="1"/>
      <w:numFmt w:val="bullet"/>
      <w:lvlText w:val="•"/>
      <w:lvlJc w:val="left"/>
      <w:pPr>
        <w:tabs>
          <w:tab w:val="num" w:pos="720"/>
        </w:tabs>
        <w:ind w:left="720" w:hanging="360"/>
      </w:pPr>
      <w:rPr>
        <w:rFonts w:ascii="Arial" w:hAnsi="Arial" w:hint="default"/>
      </w:rPr>
    </w:lvl>
    <w:lvl w:ilvl="1" w:tplc="8CAACA0A" w:tentative="1">
      <w:start w:val="1"/>
      <w:numFmt w:val="bullet"/>
      <w:lvlText w:val="•"/>
      <w:lvlJc w:val="left"/>
      <w:pPr>
        <w:tabs>
          <w:tab w:val="num" w:pos="1440"/>
        </w:tabs>
        <w:ind w:left="1440" w:hanging="360"/>
      </w:pPr>
      <w:rPr>
        <w:rFonts w:ascii="Arial" w:hAnsi="Arial" w:hint="default"/>
      </w:rPr>
    </w:lvl>
    <w:lvl w:ilvl="2" w:tplc="66E60928" w:tentative="1">
      <w:start w:val="1"/>
      <w:numFmt w:val="bullet"/>
      <w:lvlText w:val="•"/>
      <w:lvlJc w:val="left"/>
      <w:pPr>
        <w:tabs>
          <w:tab w:val="num" w:pos="2160"/>
        </w:tabs>
        <w:ind w:left="2160" w:hanging="360"/>
      </w:pPr>
      <w:rPr>
        <w:rFonts w:ascii="Arial" w:hAnsi="Arial" w:hint="default"/>
      </w:rPr>
    </w:lvl>
    <w:lvl w:ilvl="3" w:tplc="BB845716" w:tentative="1">
      <w:start w:val="1"/>
      <w:numFmt w:val="bullet"/>
      <w:lvlText w:val="•"/>
      <w:lvlJc w:val="left"/>
      <w:pPr>
        <w:tabs>
          <w:tab w:val="num" w:pos="2880"/>
        </w:tabs>
        <w:ind w:left="2880" w:hanging="360"/>
      </w:pPr>
      <w:rPr>
        <w:rFonts w:ascii="Arial" w:hAnsi="Arial" w:hint="default"/>
      </w:rPr>
    </w:lvl>
    <w:lvl w:ilvl="4" w:tplc="7602C2F6" w:tentative="1">
      <w:start w:val="1"/>
      <w:numFmt w:val="bullet"/>
      <w:lvlText w:val="•"/>
      <w:lvlJc w:val="left"/>
      <w:pPr>
        <w:tabs>
          <w:tab w:val="num" w:pos="3600"/>
        </w:tabs>
        <w:ind w:left="3600" w:hanging="360"/>
      </w:pPr>
      <w:rPr>
        <w:rFonts w:ascii="Arial" w:hAnsi="Arial" w:hint="default"/>
      </w:rPr>
    </w:lvl>
    <w:lvl w:ilvl="5" w:tplc="CEDEC6D8" w:tentative="1">
      <w:start w:val="1"/>
      <w:numFmt w:val="bullet"/>
      <w:lvlText w:val="•"/>
      <w:lvlJc w:val="left"/>
      <w:pPr>
        <w:tabs>
          <w:tab w:val="num" w:pos="4320"/>
        </w:tabs>
        <w:ind w:left="4320" w:hanging="360"/>
      </w:pPr>
      <w:rPr>
        <w:rFonts w:ascii="Arial" w:hAnsi="Arial" w:hint="default"/>
      </w:rPr>
    </w:lvl>
    <w:lvl w:ilvl="6" w:tplc="EDEC1A5C" w:tentative="1">
      <w:start w:val="1"/>
      <w:numFmt w:val="bullet"/>
      <w:lvlText w:val="•"/>
      <w:lvlJc w:val="left"/>
      <w:pPr>
        <w:tabs>
          <w:tab w:val="num" w:pos="5040"/>
        </w:tabs>
        <w:ind w:left="5040" w:hanging="360"/>
      </w:pPr>
      <w:rPr>
        <w:rFonts w:ascii="Arial" w:hAnsi="Arial" w:hint="default"/>
      </w:rPr>
    </w:lvl>
    <w:lvl w:ilvl="7" w:tplc="AADC2748" w:tentative="1">
      <w:start w:val="1"/>
      <w:numFmt w:val="bullet"/>
      <w:lvlText w:val="•"/>
      <w:lvlJc w:val="left"/>
      <w:pPr>
        <w:tabs>
          <w:tab w:val="num" w:pos="5760"/>
        </w:tabs>
        <w:ind w:left="5760" w:hanging="360"/>
      </w:pPr>
      <w:rPr>
        <w:rFonts w:ascii="Arial" w:hAnsi="Arial" w:hint="default"/>
      </w:rPr>
    </w:lvl>
    <w:lvl w:ilvl="8" w:tplc="4184D6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1C33BE2"/>
    <w:multiLevelType w:val="hybridMultilevel"/>
    <w:tmpl w:val="1BEA6B12"/>
    <w:lvl w:ilvl="0" w:tplc="F908551E">
      <w:start w:val="1"/>
      <w:numFmt w:val="bullet"/>
      <w:lvlText w:val="•"/>
      <w:lvlJc w:val="left"/>
      <w:pPr>
        <w:tabs>
          <w:tab w:val="num" w:pos="720"/>
        </w:tabs>
        <w:ind w:left="720" w:hanging="360"/>
      </w:pPr>
      <w:rPr>
        <w:rFonts w:ascii="Arial" w:hAnsi="Arial" w:hint="default"/>
      </w:rPr>
    </w:lvl>
    <w:lvl w:ilvl="1" w:tplc="E7C62CD8" w:tentative="1">
      <w:start w:val="1"/>
      <w:numFmt w:val="bullet"/>
      <w:lvlText w:val="•"/>
      <w:lvlJc w:val="left"/>
      <w:pPr>
        <w:tabs>
          <w:tab w:val="num" w:pos="1440"/>
        </w:tabs>
        <w:ind w:left="1440" w:hanging="360"/>
      </w:pPr>
      <w:rPr>
        <w:rFonts w:ascii="Arial" w:hAnsi="Arial" w:hint="default"/>
      </w:rPr>
    </w:lvl>
    <w:lvl w:ilvl="2" w:tplc="DA8E2044" w:tentative="1">
      <w:start w:val="1"/>
      <w:numFmt w:val="bullet"/>
      <w:lvlText w:val="•"/>
      <w:lvlJc w:val="left"/>
      <w:pPr>
        <w:tabs>
          <w:tab w:val="num" w:pos="2160"/>
        </w:tabs>
        <w:ind w:left="2160" w:hanging="360"/>
      </w:pPr>
      <w:rPr>
        <w:rFonts w:ascii="Arial" w:hAnsi="Arial" w:hint="default"/>
      </w:rPr>
    </w:lvl>
    <w:lvl w:ilvl="3" w:tplc="4C34F034" w:tentative="1">
      <w:start w:val="1"/>
      <w:numFmt w:val="bullet"/>
      <w:lvlText w:val="•"/>
      <w:lvlJc w:val="left"/>
      <w:pPr>
        <w:tabs>
          <w:tab w:val="num" w:pos="2880"/>
        </w:tabs>
        <w:ind w:left="2880" w:hanging="360"/>
      </w:pPr>
      <w:rPr>
        <w:rFonts w:ascii="Arial" w:hAnsi="Arial" w:hint="default"/>
      </w:rPr>
    </w:lvl>
    <w:lvl w:ilvl="4" w:tplc="8EEEC6FE" w:tentative="1">
      <w:start w:val="1"/>
      <w:numFmt w:val="bullet"/>
      <w:lvlText w:val="•"/>
      <w:lvlJc w:val="left"/>
      <w:pPr>
        <w:tabs>
          <w:tab w:val="num" w:pos="3600"/>
        </w:tabs>
        <w:ind w:left="3600" w:hanging="360"/>
      </w:pPr>
      <w:rPr>
        <w:rFonts w:ascii="Arial" w:hAnsi="Arial" w:hint="default"/>
      </w:rPr>
    </w:lvl>
    <w:lvl w:ilvl="5" w:tplc="B5B8F014" w:tentative="1">
      <w:start w:val="1"/>
      <w:numFmt w:val="bullet"/>
      <w:lvlText w:val="•"/>
      <w:lvlJc w:val="left"/>
      <w:pPr>
        <w:tabs>
          <w:tab w:val="num" w:pos="4320"/>
        </w:tabs>
        <w:ind w:left="4320" w:hanging="360"/>
      </w:pPr>
      <w:rPr>
        <w:rFonts w:ascii="Arial" w:hAnsi="Arial" w:hint="default"/>
      </w:rPr>
    </w:lvl>
    <w:lvl w:ilvl="6" w:tplc="BAA85598" w:tentative="1">
      <w:start w:val="1"/>
      <w:numFmt w:val="bullet"/>
      <w:lvlText w:val="•"/>
      <w:lvlJc w:val="left"/>
      <w:pPr>
        <w:tabs>
          <w:tab w:val="num" w:pos="5040"/>
        </w:tabs>
        <w:ind w:left="5040" w:hanging="360"/>
      </w:pPr>
      <w:rPr>
        <w:rFonts w:ascii="Arial" w:hAnsi="Arial" w:hint="default"/>
      </w:rPr>
    </w:lvl>
    <w:lvl w:ilvl="7" w:tplc="21A6255E" w:tentative="1">
      <w:start w:val="1"/>
      <w:numFmt w:val="bullet"/>
      <w:lvlText w:val="•"/>
      <w:lvlJc w:val="left"/>
      <w:pPr>
        <w:tabs>
          <w:tab w:val="num" w:pos="5760"/>
        </w:tabs>
        <w:ind w:left="5760" w:hanging="360"/>
      </w:pPr>
      <w:rPr>
        <w:rFonts w:ascii="Arial" w:hAnsi="Arial" w:hint="default"/>
      </w:rPr>
    </w:lvl>
    <w:lvl w:ilvl="8" w:tplc="CD105D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F19539E"/>
    <w:multiLevelType w:val="hybridMultilevel"/>
    <w:tmpl w:val="52DC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93"/>
    <w:rsid w:val="00176415"/>
    <w:rsid w:val="00183C5E"/>
    <w:rsid w:val="00210BC8"/>
    <w:rsid w:val="00290FDF"/>
    <w:rsid w:val="002C05DB"/>
    <w:rsid w:val="002C1006"/>
    <w:rsid w:val="00362B5F"/>
    <w:rsid w:val="003A7DD0"/>
    <w:rsid w:val="00714A1B"/>
    <w:rsid w:val="0072130B"/>
    <w:rsid w:val="008B6911"/>
    <w:rsid w:val="00BA7893"/>
    <w:rsid w:val="00BC4EBC"/>
    <w:rsid w:val="00C14D72"/>
    <w:rsid w:val="00F4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B64F"/>
  <w15:chartTrackingRefBased/>
  <w15:docId w15:val="{2B250AE6-F578-4537-B4EA-67DD5CCD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607"/>
    <w:rPr>
      <w:color w:val="0563C1" w:themeColor="hyperlink"/>
      <w:u w:val="single"/>
    </w:rPr>
  </w:style>
  <w:style w:type="character" w:styleId="UnresolvedMention">
    <w:name w:val="Unresolved Mention"/>
    <w:basedOn w:val="DefaultParagraphFont"/>
    <w:uiPriority w:val="99"/>
    <w:semiHidden/>
    <w:unhideWhenUsed/>
    <w:rsid w:val="00F40607"/>
    <w:rPr>
      <w:color w:val="605E5C"/>
      <w:shd w:val="clear" w:color="auto" w:fill="E1DFDD"/>
    </w:rPr>
  </w:style>
  <w:style w:type="paragraph" w:styleId="ListParagraph">
    <w:name w:val="List Paragraph"/>
    <w:basedOn w:val="Normal"/>
    <w:uiPriority w:val="34"/>
    <w:qFormat/>
    <w:rsid w:val="0072130B"/>
    <w:pPr>
      <w:ind w:left="720"/>
      <w:contextualSpacing/>
    </w:pPr>
  </w:style>
  <w:style w:type="character" w:styleId="CommentReference">
    <w:name w:val="annotation reference"/>
    <w:basedOn w:val="DefaultParagraphFont"/>
    <w:uiPriority w:val="99"/>
    <w:semiHidden/>
    <w:unhideWhenUsed/>
    <w:rsid w:val="00BC4EBC"/>
    <w:rPr>
      <w:sz w:val="16"/>
      <w:szCs w:val="16"/>
    </w:rPr>
  </w:style>
  <w:style w:type="paragraph" w:styleId="CommentText">
    <w:name w:val="annotation text"/>
    <w:basedOn w:val="Normal"/>
    <w:link w:val="CommentTextChar"/>
    <w:uiPriority w:val="99"/>
    <w:semiHidden/>
    <w:unhideWhenUsed/>
    <w:rsid w:val="00BC4EBC"/>
    <w:pPr>
      <w:spacing w:line="240" w:lineRule="auto"/>
    </w:pPr>
    <w:rPr>
      <w:sz w:val="20"/>
      <w:szCs w:val="20"/>
    </w:rPr>
  </w:style>
  <w:style w:type="character" w:customStyle="1" w:styleId="CommentTextChar">
    <w:name w:val="Comment Text Char"/>
    <w:basedOn w:val="DefaultParagraphFont"/>
    <w:link w:val="CommentText"/>
    <w:uiPriority w:val="99"/>
    <w:semiHidden/>
    <w:rsid w:val="00BC4EBC"/>
    <w:rPr>
      <w:sz w:val="20"/>
      <w:szCs w:val="20"/>
    </w:rPr>
  </w:style>
  <w:style w:type="paragraph" w:styleId="CommentSubject">
    <w:name w:val="annotation subject"/>
    <w:basedOn w:val="CommentText"/>
    <w:next w:val="CommentText"/>
    <w:link w:val="CommentSubjectChar"/>
    <w:uiPriority w:val="99"/>
    <w:semiHidden/>
    <w:unhideWhenUsed/>
    <w:rsid w:val="00BC4EBC"/>
    <w:rPr>
      <w:b/>
      <w:bCs/>
    </w:rPr>
  </w:style>
  <w:style w:type="character" w:customStyle="1" w:styleId="CommentSubjectChar">
    <w:name w:val="Comment Subject Char"/>
    <w:basedOn w:val="CommentTextChar"/>
    <w:link w:val="CommentSubject"/>
    <w:uiPriority w:val="99"/>
    <w:semiHidden/>
    <w:rsid w:val="00BC4E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20688">
      <w:bodyDiv w:val="1"/>
      <w:marLeft w:val="0"/>
      <w:marRight w:val="0"/>
      <w:marTop w:val="0"/>
      <w:marBottom w:val="0"/>
      <w:divBdr>
        <w:top w:val="none" w:sz="0" w:space="0" w:color="auto"/>
        <w:left w:val="none" w:sz="0" w:space="0" w:color="auto"/>
        <w:bottom w:val="none" w:sz="0" w:space="0" w:color="auto"/>
        <w:right w:val="none" w:sz="0" w:space="0" w:color="auto"/>
      </w:divBdr>
      <w:divsChild>
        <w:div w:id="805006174">
          <w:marLeft w:val="360"/>
          <w:marRight w:val="0"/>
          <w:marTop w:val="200"/>
          <w:marBottom w:val="0"/>
          <w:divBdr>
            <w:top w:val="none" w:sz="0" w:space="0" w:color="auto"/>
            <w:left w:val="none" w:sz="0" w:space="0" w:color="auto"/>
            <w:bottom w:val="none" w:sz="0" w:space="0" w:color="auto"/>
            <w:right w:val="none" w:sz="0" w:space="0" w:color="auto"/>
          </w:divBdr>
        </w:div>
      </w:divsChild>
    </w:div>
    <w:div w:id="819660957">
      <w:bodyDiv w:val="1"/>
      <w:marLeft w:val="0"/>
      <w:marRight w:val="0"/>
      <w:marTop w:val="0"/>
      <w:marBottom w:val="0"/>
      <w:divBdr>
        <w:top w:val="none" w:sz="0" w:space="0" w:color="auto"/>
        <w:left w:val="none" w:sz="0" w:space="0" w:color="auto"/>
        <w:bottom w:val="none" w:sz="0" w:space="0" w:color="auto"/>
        <w:right w:val="none" w:sz="0" w:space="0" w:color="auto"/>
      </w:divBdr>
      <w:divsChild>
        <w:div w:id="506410369">
          <w:marLeft w:val="360"/>
          <w:marRight w:val="0"/>
          <w:marTop w:val="200"/>
          <w:marBottom w:val="0"/>
          <w:divBdr>
            <w:top w:val="none" w:sz="0" w:space="0" w:color="auto"/>
            <w:left w:val="none" w:sz="0" w:space="0" w:color="auto"/>
            <w:bottom w:val="none" w:sz="0" w:space="0" w:color="auto"/>
            <w:right w:val="none" w:sz="0" w:space="0" w:color="auto"/>
          </w:divBdr>
        </w:div>
      </w:divsChild>
    </w:div>
    <w:div w:id="1632054648">
      <w:bodyDiv w:val="1"/>
      <w:marLeft w:val="0"/>
      <w:marRight w:val="0"/>
      <w:marTop w:val="0"/>
      <w:marBottom w:val="0"/>
      <w:divBdr>
        <w:top w:val="none" w:sz="0" w:space="0" w:color="auto"/>
        <w:left w:val="none" w:sz="0" w:space="0" w:color="auto"/>
        <w:bottom w:val="none" w:sz="0" w:space="0" w:color="auto"/>
        <w:right w:val="none" w:sz="0" w:space="0" w:color="auto"/>
      </w:divBdr>
      <w:divsChild>
        <w:div w:id="477109860">
          <w:marLeft w:val="360"/>
          <w:marRight w:val="0"/>
          <w:marTop w:val="200"/>
          <w:marBottom w:val="0"/>
          <w:divBdr>
            <w:top w:val="none" w:sz="0" w:space="0" w:color="auto"/>
            <w:left w:val="none" w:sz="0" w:space="0" w:color="auto"/>
            <w:bottom w:val="none" w:sz="0" w:space="0" w:color="auto"/>
            <w:right w:val="none" w:sz="0" w:space="0" w:color="auto"/>
          </w:divBdr>
        </w:div>
      </w:divsChild>
    </w:div>
    <w:div w:id="21134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mailto:b.buczkowski@mmu.ac.uk" TargetMode="External"/><Relationship Id="rId13" Type="http://schemas.openxmlformats.org/officeDocument/2006/relationships/hyperlink" Target="https://www.theunionmmu.org/your-voice/big-change-project" TargetMode="External"/><Relationship Id="rId18" Type="http://schemas.openxmlformats.org/officeDocument/2006/relationships/hyperlink" Target="mailto:j.mugglestone@mmu.ac.uk" TargetMode="External"/><Relationship Id="rId26" Type="http://schemas.openxmlformats.org/officeDocument/2006/relationships/hyperlink" Target="mailto:b.buczkowski@mmu.ac.uk" TargetMode="External"/><Relationship Id="rId3" Type="http://schemas.openxmlformats.org/officeDocument/2006/relationships/settings" Target="settings.xml"/><Relationship Id="rId21" Type="http://schemas.openxmlformats.org/officeDocument/2006/relationships/hyperlink" Target="https://www.mmu.ac.uk/about-us/professional-services/uta/inclusive-curriculum-toolkit" TargetMode="External"/><Relationship Id="rId7" Type="http://schemas.openxmlformats.org/officeDocument/2006/relationships/hyperlink" Target="https://www.mmu.ac.uk/student-life/course/learning-communities/inclusive-learning-communities" TargetMode="External"/><Relationship Id="rId12" Type="http://schemas.openxmlformats.org/officeDocument/2006/relationships/hyperlink" Target="https://open.spotify.com/show/7hJMMfGKgpaLnrmFOi3dCE" TargetMode="External"/><Relationship Id="rId17" Type="http://schemas.openxmlformats.org/officeDocument/2006/relationships/hyperlink" Target="mailto:g.nambiar-greenwood@mmu.ac.uk" TargetMode="External"/><Relationship Id="rId25" Type="http://schemas.openxmlformats.org/officeDocument/2006/relationships/hyperlink" Target="mailto:c.little@mmu.ac.uk" TargetMode="External"/><Relationship Id="rId2" Type="http://schemas.openxmlformats.org/officeDocument/2006/relationships/styles" Target="styles.xml"/><Relationship Id="rId16" Type="http://schemas.openxmlformats.org/officeDocument/2006/relationships/hyperlink" Target="mailto:b.buczkowski@mmu.ac.uk" TargetMode="External"/><Relationship Id="rId20" Type="http://schemas.openxmlformats.org/officeDocument/2006/relationships/hyperlink" Target="https://www.mmu.ac.uk/about-us/professional-services/uta/reducing-awarding-gap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fficeforstudents.org.uk/advice-and-guidance/promoting-equal-opportunities/effective-practice/black-asian-and-minority-ethnic-students/" TargetMode="External"/><Relationship Id="rId11" Type="http://schemas.openxmlformats.org/officeDocument/2006/relationships/hyperlink" Target="https://www.listennotes.com/podcasts/shades-of-tea-bame-ambassadors-cDOne1zHudF/" TargetMode="External"/><Relationship Id="rId24" Type="http://schemas.openxmlformats.org/officeDocument/2006/relationships/hyperlink" Target="mailto:o.mccabe@mmu.ac.uk" TargetMode="External"/><Relationship Id="rId5" Type="http://schemas.openxmlformats.org/officeDocument/2006/relationships/hyperlink" Target="https://www.advance-he.ac.uk/news-and-views/advance-he-launches-ethnicity-awarding-gaps-uk-higher-education-201920-report" TargetMode="External"/><Relationship Id="rId15" Type="http://schemas.openxmlformats.org/officeDocument/2006/relationships/hyperlink" Target="mailto:m.burgess@mmu.ac.uk" TargetMode="External"/><Relationship Id="rId23" Type="http://schemas.openxmlformats.org/officeDocument/2006/relationships/hyperlink" Target="https://www.mmu.ac.uk/library/using-the-library/celebrating-diversity/reading-list-diversity-audit" TargetMode="External"/><Relationship Id="rId28" Type="http://schemas.openxmlformats.org/officeDocument/2006/relationships/hyperlink" Target="mailto:b.buczkowski@mmu.ac.uk" TargetMode="External"/><Relationship Id="rId10" Type="http://schemas.openxmlformats.org/officeDocument/2006/relationships/hyperlink" Target="https://www.mmu.ac.uk/library/using-the-library/celebrating-diversity" TargetMode="External"/><Relationship Id="rId19" Type="http://schemas.openxmlformats.org/officeDocument/2006/relationships/hyperlink" Target="https://stummuac-my.sharepoint.com/:w:/g/personal/55098733_ad_mmu_ac_uk/EZQTM93HH1pMgip_5wgz-XYBBOtpIt_XH5yJAPB_oaK85Q?e=JKXez8" TargetMode="External"/><Relationship Id="rId4" Type="http://schemas.openxmlformats.org/officeDocument/2006/relationships/webSettings" Target="webSettings.xml"/><Relationship Id="rId9" Type="http://schemas.openxmlformats.org/officeDocument/2006/relationships/hyperlink" Target="mailto:b.buczkowski@mmu.ac.uk" TargetMode="External"/><Relationship Id="rId14" Type="http://schemas.openxmlformats.org/officeDocument/2006/relationships/hyperlink" Target="mailto:a.daly@mmu.ac.uk" TargetMode="External"/><Relationship Id="rId22" Type="http://schemas.openxmlformats.org/officeDocument/2006/relationships/hyperlink" Target="https://www.mmu.ac.uk/about-us/professional-services/uta/reducing-awarding-gaps/decolonising-the-curriculum-toolkit" TargetMode="External"/><Relationship Id="rId27" Type="http://schemas.openxmlformats.org/officeDocument/2006/relationships/hyperlink" Target="https://stummuac-my.sharepoint.com/:w:/g/personal/55098733_ad_mmu_ac_uk/EZQTM93HH1pMgip_5wgz-XYBBOtpIt_XH5yJAPB_oaK85Q?e=JKXez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1389</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Buczkowski</dc:creator>
  <cp:keywords/>
  <dc:description/>
  <cp:lastModifiedBy>Bartek Buczkowski</cp:lastModifiedBy>
  <cp:revision>4</cp:revision>
  <dcterms:created xsi:type="dcterms:W3CDTF">2022-06-23T09:29:00Z</dcterms:created>
  <dcterms:modified xsi:type="dcterms:W3CDTF">2022-06-24T13:17:00Z</dcterms:modified>
</cp:coreProperties>
</file>